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4910" w:type="dxa"/>
        <w:tblLayout w:type="fixed"/>
        <w:tblLook w:val="04A0" w:firstRow="1" w:lastRow="0" w:firstColumn="1" w:lastColumn="0" w:noHBand="0" w:noVBand="1"/>
      </w:tblPr>
      <w:tblGrid>
        <w:gridCol w:w="3458"/>
        <w:gridCol w:w="1134"/>
        <w:gridCol w:w="1134"/>
        <w:gridCol w:w="9184"/>
      </w:tblGrid>
      <w:tr w:rsidR="00306D2A" w:rsidRPr="00431DFE" w:rsidTr="001F559F">
        <w:trPr>
          <w:tblHeader/>
        </w:trPr>
        <w:tc>
          <w:tcPr>
            <w:tcW w:w="3458" w:type="dxa"/>
            <w:shd w:val="clear" w:color="auto" w:fill="BFBFBF" w:themeFill="background1" w:themeFillShade="BF"/>
          </w:tcPr>
          <w:p w:rsidR="00431DFE" w:rsidRPr="00431DFE" w:rsidRDefault="00431DFE" w:rsidP="00431DFE">
            <w:pPr>
              <w:jc w:val="center"/>
              <w:rPr>
                <w:b/>
              </w:rPr>
            </w:pPr>
            <w:proofErr w:type="spellStart"/>
            <w:r w:rsidRPr="00431DFE">
              <w:rPr>
                <w:b/>
              </w:rPr>
              <w:t>Bescheidart</w:t>
            </w:r>
            <w:proofErr w:type="spellEnd"/>
          </w:p>
        </w:tc>
        <w:tc>
          <w:tcPr>
            <w:tcW w:w="1134" w:type="dxa"/>
            <w:shd w:val="clear" w:color="auto" w:fill="BFBFBF" w:themeFill="background1" w:themeFillShade="BF"/>
          </w:tcPr>
          <w:p w:rsidR="00431DFE" w:rsidRPr="00431DFE" w:rsidRDefault="00431DFE" w:rsidP="00431DFE">
            <w:pPr>
              <w:jc w:val="center"/>
              <w:rPr>
                <w:b/>
              </w:rPr>
            </w:pPr>
            <w:proofErr w:type="spellStart"/>
            <w:r w:rsidRPr="00431DFE">
              <w:rPr>
                <w:b/>
              </w:rPr>
              <w:t>aW</w:t>
            </w:r>
            <w:proofErr w:type="spellEnd"/>
          </w:p>
        </w:tc>
        <w:tc>
          <w:tcPr>
            <w:tcW w:w="1134" w:type="dxa"/>
            <w:shd w:val="clear" w:color="auto" w:fill="BFBFBF" w:themeFill="background1" w:themeFillShade="BF"/>
          </w:tcPr>
          <w:p w:rsidR="00431DFE" w:rsidRPr="00431DFE" w:rsidRDefault="00431DFE" w:rsidP="00431DFE">
            <w:pPr>
              <w:jc w:val="center"/>
              <w:rPr>
                <w:b/>
              </w:rPr>
            </w:pPr>
            <w:r w:rsidRPr="00431DFE">
              <w:rPr>
                <w:b/>
              </w:rPr>
              <w:t xml:space="preserve">Keine </w:t>
            </w:r>
            <w:proofErr w:type="spellStart"/>
            <w:r w:rsidRPr="00431DFE">
              <w:rPr>
                <w:b/>
              </w:rPr>
              <w:t>aW</w:t>
            </w:r>
            <w:proofErr w:type="spellEnd"/>
          </w:p>
        </w:tc>
        <w:tc>
          <w:tcPr>
            <w:tcW w:w="9184" w:type="dxa"/>
            <w:shd w:val="clear" w:color="auto" w:fill="BFBFBF" w:themeFill="background1" w:themeFillShade="BF"/>
          </w:tcPr>
          <w:p w:rsidR="00431DFE" w:rsidRPr="00431DFE" w:rsidRDefault="00431DFE" w:rsidP="00E94547">
            <w:pPr>
              <w:jc w:val="center"/>
              <w:rPr>
                <w:b/>
              </w:rPr>
            </w:pPr>
            <w:r w:rsidRPr="00431DFE">
              <w:rPr>
                <w:b/>
              </w:rPr>
              <w:t>Auswirkungen</w:t>
            </w:r>
            <w:r>
              <w:rPr>
                <w:b/>
              </w:rPr>
              <w:t xml:space="preserve"> bei Einbringung einer Beschwerde gegen den Bescheid</w:t>
            </w:r>
            <w:r w:rsidR="005B1D2A">
              <w:rPr>
                <w:b/>
              </w:rPr>
              <w:t xml:space="preserve"> (nach </w:t>
            </w:r>
            <w:proofErr w:type="spellStart"/>
            <w:r w:rsidR="005B1D2A">
              <w:rPr>
                <w:b/>
              </w:rPr>
              <w:t>vollst</w:t>
            </w:r>
            <w:proofErr w:type="spellEnd"/>
            <w:r w:rsidR="005B1D2A">
              <w:rPr>
                <w:b/>
              </w:rPr>
              <w:t>. Umsetzung)</w:t>
            </w:r>
          </w:p>
        </w:tc>
      </w:tr>
      <w:tr w:rsidR="00306D2A" w:rsidTr="00F83B93">
        <w:tc>
          <w:tcPr>
            <w:tcW w:w="14910" w:type="dxa"/>
            <w:gridSpan w:val="4"/>
          </w:tcPr>
          <w:p w:rsidR="00306D2A" w:rsidRPr="00306D2A" w:rsidRDefault="00306D2A" w:rsidP="007431AC">
            <w:pPr>
              <w:tabs>
                <w:tab w:val="left" w:pos="1736"/>
              </w:tabs>
              <w:rPr>
                <w:rFonts w:cstheme="minorHAnsi"/>
              </w:rPr>
            </w:pPr>
            <w:r w:rsidRPr="00431DFE">
              <w:rPr>
                <w:rFonts w:ascii="Times New Roman" w:hAnsi="Times New Roman" w:cs="Times New Roman"/>
                <w:b/>
                <w:sz w:val="24"/>
                <w:szCs w:val="24"/>
              </w:rPr>
              <w:t>Antragsabweisungen</w:t>
            </w:r>
          </w:p>
        </w:tc>
      </w:tr>
      <w:tr w:rsidR="00306D2A" w:rsidTr="00306D2A">
        <w:tc>
          <w:tcPr>
            <w:tcW w:w="3458" w:type="dxa"/>
          </w:tcPr>
          <w:p w:rsidR="00431DFE" w:rsidRPr="00306D2A" w:rsidRDefault="00306D2A" w:rsidP="00306D2A">
            <w:pPr>
              <w:tabs>
                <w:tab w:val="left" w:pos="284"/>
              </w:tabs>
            </w:pPr>
            <w:r w:rsidRPr="00306D2A">
              <w:tab/>
            </w:r>
            <w:r w:rsidR="00431DFE" w:rsidRPr="00306D2A">
              <w:t>Alle Antragsabweisungen</w:t>
            </w:r>
          </w:p>
        </w:tc>
        <w:tc>
          <w:tcPr>
            <w:tcW w:w="1134" w:type="dxa"/>
          </w:tcPr>
          <w:p w:rsidR="00431DFE" w:rsidRPr="00431DFE" w:rsidRDefault="00431DFE" w:rsidP="00431DFE">
            <w:pPr>
              <w:jc w:val="center"/>
              <w:rPr>
                <w:b/>
              </w:rPr>
            </w:pPr>
            <w:r w:rsidRPr="00431DFE">
              <w:rPr>
                <w:b/>
              </w:rPr>
              <w:t>X</w:t>
            </w:r>
          </w:p>
        </w:tc>
        <w:tc>
          <w:tcPr>
            <w:tcW w:w="1134" w:type="dxa"/>
          </w:tcPr>
          <w:p w:rsidR="00431DFE" w:rsidRPr="00431DFE" w:rsidRDefault="00431DFE" w:rsidP="00431DFE">
            <w:pPr>
              <w:jc w:val="center"/>
              <w:rPr>
                <w:b/>
              </w:rPr>
            </w:pPr>
          </w:p>
        </w:tc>
        <w:tc>
          <w:tcPr>
            <w:tcW w:w="9184" w:type="dxa"/>
          </w:tcPr>
          <w:p w:rsidR="00431DFE" w:rsidRPr="00306D2A" w:rsidRDefault="000038EF" w:rsidP="000E199E">
            <w:pPr>
              <w:tabs>
                <w:tab w:val="left" w:pos="1736"/>
              </w:tabs>
              <w:rPr>
                <w:rFonts w:cstheme="minorHAnsi"/>
              </w:rPr>
            </w:pPr>
            <w:r>
              <w:rPr>
                <w:rFonts w:cstheme="minorHAnsi"/>
              </w:rPr>
              <w:t xml:space="preserve">Hat </w:t>
            </w:r>
            <w:r w:rsidR="00431DFE" w:rsidRPr="00306D2A">
              <w:rPr>
                <w:rFonts w:cstheme="minorHAnsi"/>
              </w:rPr>
              <w:t>im ALV Verfahren keine Auswirkung – die Leistung ist NICHT vorläufig anzuweisen.</w:t>
            </w:r>
          </w:p>
        </w:tc>
      </w:tr>
      <w:tr w:rsidR="00306D2A" w:rsidTr="00306D2A">
        <w:tc>
          <w:tcPr>
            <w:tcW w:w="3458" w:type="dxa"/>
          </w:tcPr>
          <w:p w:rsidR="00306D2A" w:rsidRPr="00306D2A" w:rsidRDefault="00306D2A" w:rsidP="000038EF">
            <w:pPr>
              <w:tabs>
                <w:tab w:val="left" w:pos="284"/>
              </w:tabs>
              <w:ind w:left="284" w:hanging="284"/>
            </w:pPr>
            <w:r>
              <w:tab/>
            </w:r>
            <w:r w:rsidR="000038EF">
              <w:t>Zurückweisung mangels Wohnsitz</w:t>
            </w:r>
          </w:p>
        </w:tc>
        <w:tc>
          <w:tcPr>
            <w:tcW w:w="1134" w:type="dxa"/>
          </w:tcPr>
          <w:p w:rsidR="00306D2A" w:rsidRPr="00431DFE" w:rsidRDefault="000038EF" w:rsidP="00431DFE">
            <w:pPr>
              <w:jc w:val="center"/>
              <w:rPr>
                <w:b/>
              </w:rPr>
            </w:pPr>
            <w:r>
              <w:rPr>
                <w:b/>
              </w:rPr>
              <w:t>X</w:t>
            </w:r>
          </w:p>
        </w:tc>
        <w:tc>
          <w:tcPr>
            <w:tcW w:w="1134" w:type="dxa"/>
          </w:tcPr>
          <w:p w:rsidR="00306D2A" w:rsidRPr="00431DFE" w:rsidRDefault="00306D2A" w:rsidP="00431DFE">
            <w:pPr>
              <w:jc w:val="center"/>
              <w:rPr>
                <w:b/>
              </w:rPr>
            </w:pPr>
          </w:p>
        </w:tc>
        <w:tc>
          <w:tcPr>
            <w:tcW w:w="9184" w:type="dxa"/>
          </w:tcPr>
          <w:p w:rsidR="00306D2A" w:rsidRPr="00306D2A" w:rsidRDefault="000038EF" w:rsidP="000E199E">
            <w:pPr>
              <w:tabs>
                <w:tab w:val="left" w:pos="1736"/>
              </w:tabs>
              <w:rPr>
                <w:rFonts w:cstheme="minorHAnsi"/>
              </w:rPr>
            </w:pPr>
            <w:r>
              <w:rPr>
                <w:rFonts w:cstheme="minorHAnsi"/>
              </w:rPr>
              <w:t xml:space="preserve">Hat </w:t>
            </w:r>
            <w:r w:rsidRPr="00306D2A">
              <w:rPr>
                <w:rFonts w:cstheme="minorHAnsi"/>
              </w:rPr>
              <w:t>im ALV Verfahren keine Auswirkung – die Leistung ist NICHT vorläufig anzuweisen</w:t>
            </w:r>
          </w:p>
        </w:tc>
      </w:tr>
      <w:tr w:rsidR="00306D2A" w:rsidTr="00D7318D">
        <w:tc>
          <w:tcPr>
            <w:tcW w:w="14910" w:type="dxa"/>
            <w:gridSpan w:val="4"/>
          </w:tcPr>
          <w:p w:rsidR="00306D2A" w:rsidRPr="00306D2A" w:rsidRDefault="00306D2A">
            <w:pPr>
              <w:rPr>
                <w:rFonts w:cstheme="minorHAnsi"/>
              </w:rPr>
            </w:pPr>
            <w:r w:rsidRPr="00431DFE">
              <w:rPr>
                <w:rFonts w:ascii="Times New Roman" w:hAnsi="Times New Roman" w:cs="Times New Roman"/>
                <w:b/>
                <w:sz w:val="24"/>
                <w:szCs w:val="24"/>
              </w:rPr>
              <w:t>Einstellbescheide</w:t>
            </w:r>
          </w:p>
        </w:tc>
      </w:tr>
      <w:tr w:rsidR="00306D2A" w:rsidTr="00306D2A">
        <w:tc>
          <w:tcPr>
            <w:tcW w:w="3458" w:type="dxa"/>
          </w:tcPr>
          <w:p w:rsidR="00431DFE" w:rsidRDefault="00306D2A" w:rsidP="00306D2A">
            <w:pPr>
              <w:tabs>
                <w:tab w:val="left" w:pos="284"/>
              </w:tabs>
              <w:ind w:left="284" w:hanging="284"/>
            </w:pPr>
            <w:r>
              <w:tab/>
            </w:r>
            <w:r w:rsidR="00431DFE">
              <w:t>Einstellbescheid</w:t>
            </w:r>
            <w:r w:rsidR="000038EF">
              <w:t>e</w:t>
            </w:r>
            <w:r w:rsidR="00431DFE">
              <w:t xml:space="preserve"> wegen Arbeitsunwilligkeit (051,251)</w:t>
            </w:r>
          </w:p>
        </w:tc>
        <w:tc>
          <w:tcPr>
            <w:tcW w:w="1134" w:type="dxa"/>
          </w:tcPr>
          <w:p w:rsidR="00431DFE" w:rsidRPr="00431DFE" w:rsidRDefault="00431DFE" w:rsidP="00431DFE">
            <w:pPr>
              <w:jc w:val="center"/>
              <w:rPr>
                <w:b/>
              </w:rPr>
            </w:pPr>
          </w:p>
        </w:tc>
        <w:tc>
          <w:tcPr>
            <w:tcW w:w="1134" w:type="dxa"/>
          </w:tcPr>
          <w:p w:rsidR="00431DFE" w:rsidRPr="00431DFE" w:rsidRDefault="00431DFE" w:rsidP="00431DFE">
            <w:pPr>
              <w:jc w:val="center"/>
              <w:rPr>
                <w:b/>
              </w:rPr>
            </w:pPr>
            <w:r w:rsidRPr="00431DFE">
              <w:rPr>
                <w:b/>
              </w:rPr>
              <w:t>X</w:t>
            </w:r>
          </w:p>
        </w:tc>
        <w:tc>
          <w:tcPr>
            <w:tcW w:w="9184" w:type="dxa"/>
          </w:tcPr>
          <w:p w:rsidR="00431DFE" w:rsidRPr="00306D2A" w:rsidRDefault="00431DFE" w:rsidP="000038EF">
            <w:pPr>
              <w:tabs>
                <w:tab w:val="left" w:pos="1736"/>
              </w:tabs>
              <w:rPr>
                <w:rFonts w:cstheme="minorHAnsi"/>
              </w:rPr>
            </w:pPr>
            <w:r w:rsidRPr="00306D2A">
              <w:rPr>
                <w:rFonts w:cstheme="minorHAnsi"/>
              </w:rPr>
              <w:t>Der  Leistungsbezug bleibt eingestellt</w:t>
            </w:r>
            <w:r w:rsidR="000038EF">
              <w:rPr>
                <w:rFonts w:cstheme="minorHAnsi"/>
              </w:rPr>
              <w:t>.</w:t>
            </w:r>
          </w:p>
        </w:tc>
      </w:tr>
      <w:tr w:rsidR="00306D2A" w:rsidTr="00306D2A">
        <w:tc>
          <w:tcPr>
            <w:tcW w:w="3458" w:type="dxa"/>
          </w:tcPr>
          <w:p w:rsidR="00431DFE" w:rsidRDefault="00306D2A" w:rsidP="00306D2A">
            <w:pPr>
              <w:tabs>
                <w:tab w:val="left" w:pos="284"/>
              </w:tabs>
              <w:ind w:left="284" w:hanging="284"/>
            </w:pPr>
            <w:r>
              <w:tab/>
            </w:r>
            <w:r w:rsidR="00431DFE">
              <w:t>Alle anderen Einstellbescheide</w:t>
            </w:r>
          </w:p>
        </w:tc>
        <w:tc>
          <w:tcPr>
            <w:tcW w:w="1134" w:type="dxa"/>
          </w:tcPr>
          <w:p w:rsidR="00431DFE" w:rsidRPr="00431DFE" w:rsidRDefault="00431DFE" w:rsidP="00431DFE">
            <w:pPr>
              <w:jc w:val="center"/>
              <w:rPr>
                <w:b/>
              </w:rPr>
            </w:pPr>
            <w:r w:rsidRPr="00431DFE">
              <w:rPr>
                <w:b/>
              </w:rPr>
              <w:t>X</w:t>
            </w:r>
          </w:p>
        </w:tc>
        <w:tc>
          <w:tcPr>
            <w:tcW w:w="1134" w:type="dxa"/>
          </w:tcPr>
          <w:p w:rsidR="00431DFE" w:rsidRPr="00431DFE" w:rsidRDefault="00431DFE" w:rsidP="00431DFE">
            <w:pPr>
              <w:jc w:val="center"/>
              <w:rPr>
                <w:b/>
              </w:rPr>
            </w:pPr>
          </w:p>
        </w:tc>
        <w:tc>
          <w:tcPr>
            <w:tcW w:w="9184" w:type="dxa"/>
          </w:tcPr>
          <w:p w:rsidR="00431DFE" w:rsidRPr="00306D2A" w:rsidRDefault="000038EF" w:rsidP="00881347">
            <w:pPr>
              <w:tabs>
                <w:tab w:val="left" w:pos="1736"/>
              </w:tabs>
              <w:rPr>
                <w:rFonts w:cstheme="minorHAnsi"/>
              </w:rPr>
            </w:pPr>
            <w:r>
              <w:rPr>
                <w:rFonts w:cstheme="minorHAnsi"/>
              </w:rPr>
              <w:t>D</w:t>
            </w:r>
            <w:r w:rsidR="00431DFE" w:rsidRPr="00306D2A">
              <w:rPr>
                <w:rFonts w:cstheme="minorHAnsi"/>
              </w:rPr>
              <w:t xml:space="preserve">ie Leistung </w:t>
            </w:r>
            <w:r w:rsidR="00881347">
              <w:rPr>
                <w:rFonts w:cstheme="minorHAnsi"/>
              </w:rPr>
              <w:t xml:space="preserve">ist </w:t>
            </w:r>
            <w:r w:rsidR="00431DFE" w:rsidRPr="00306D2A">
              <w:rPr>
                <w:rFonts w:cstheme="minorHAnsi"/>
              </w:rPr>
              <w:t xml:space="preserve">auch weiterhin anzuweisen und die Person </w:t>
            </w:r>
            <w:r w:rsidR="00881347">
              <w:rPr>
                <w:rFonts w:cstheme="minorHAnsi"/>
              </w:rPr>
              <w:t xml:space="preserve">ist </w:t>
            </w:r>
            <w:r w:rsidR="00431DFE" w:rsidRPr="00306D2A">
              <w:rPr>
                <w:rFonts w:cstheme="minorHAnsi"/>
              </w:rPr>
              <w:t xml:space="preserve">so zu betreuen, wie es auch während des „normalen“ </w:t>
            </w:r>
            <w:proofErr w:type="gramStart"/>
            <w:r w:rsidR="00431DFE" w:rsidRPr="00306D2A">
              <w:rPr>
                <w:rFonts w:cstheme="minorHAnsi"/>
              </w:rPr>
              <w:t>Leistungsbezug</w:t>
            </w:r>
            <w:proofErr w:type="gramEnd"/>
            <w:r w:rsidR="00431DFE" w:rsidRPr="00306D2A">
              <w:rPr>
                <w:rFonts w:cstheme="minorHAnsi"/>
              </w:rPr>
              <w:t xml:space="preserve"> der Fall wäre. Wird das Beschwerdeverfahren beendet und wird der Bescheid des AMS bestätigt, so sind die wegen des Rechtsmittelverfahrens zu Unrecht ausbezahlten Beträge mit neu geschaffenen Rückforderungsbescheid nach § 25 Abs.1 letzter Satz </w:t>
            </w:r>
            <w:r w:rsidRPr="00306D2A">
              <w:rPr>
                <w:rFonts w:cstheme="minorHAnsi"/>
              </w:rPr>
              <w:t>(TNB 690)</w:t>
            </w:r>
            <w:r>
              <w:rPr>
                <w:rFonts w:cstheme="minorHAnsi"/>
              </w:rPr>
              <w:t xml:space="preserve"> </w:t>
            </w:r>
            <w:r w:rsidR="00431DFE" w:rsidRPr="00306D2A">
              <w:rPr>
                <w:rFonts w:cstheme="minorHAnsi"/>
              </w:rPr>
              <w:t xml:space="preserve">oder § 27 Abs.8 </w:t>
            </w:r>
            <w:proofErr w:type="spellStart"/>
            <w:r w:rsidR="00431DFE" w:rsidRPr="00306D2A">
              <w:rPr>
                <w:rFonts w:cstheme="minorHAnsi"/>
              </w:rPr>
              <w:t>AlVG</w:t>
            </w:r>
            <w:proofErr w:type="spellEnd"/>
            <w:r w:rsidR="00431DFE" w:rsidRPr="00306D2A">
              <w:rPr>
                <w:rFonts w:cstheme="minorHAnsi"/>
              </w:rPr>
              <w:t xml:space="preserve"> letzter Satz (TNB 890</w:t>
            </w:r>
            <w:r>
              <w:rPr>
                <w:rFonts w:cstheme="minorHAnsi"/>
              </w:rPr>
              <w:t xml:space="preserve"> - ATZ</w:t>
            </w:r>
            <w:r w:rsidR="00431DFE" w:rsidRPr="00306D2A">
              <w:rPr>
                <w:rFonts w:cstheme="minorHAnsi"/>
              </w:rPr>
              <w:t xml:space="preserve">) </w:t>
            </w:r>
            <w:proofErr w:type="spellStart"/>
            <w:r w:rsidR="00431DFE" w:rsidRPr="00306D2A">
              <w:rPr>
                <w:rFonts w:cstheme="minorHAnsi"/>
              </w:rPr>
              <w:t>rückzufordern</w:t>
            </w:r>
            <w:proofErr w:type="spellEnd"/>
          </w:p>
        </w:tc>
      </w:tr>
      <w:tr w:rsidR="00306D2A" w:rsidTr="00691B37">
        <w:tc>
          <w:tcPr>
            <w:tcW w:w="14910" w:type="dxa"/>
            <w:gridSpan w:val="4"/>
          </w:tcPr>
          <w:p w:rsidR="00306D2A" w:rsidRPr="00306D2A" w:rsidRDefault="00306D2A" w:rsidP="00306D2A">
            <w:pPr>
              <w:tabs>
                <w:tab w:val="left" w:pos="1736"/>
              </w:tabs>
              <w:rPr>
                <w:rFonts w:cstheme="minorHAnsi"/>
              </w:rPr>
            </w:pPr>
            <w:r w:rsidRPr="00306D2A">
              <w:rPr>
                <w:rFonts w:ascii="Times New Roman" w:hAnsi="Times New Roman" w:cs="Times New Roman"/>
                <w:b/>
                <w:sz w:val="24"/>
                <w:szCs w:val="24"/>
              </w:rPr>
              <w:t>Sanktionsbescheide</w:t>
            </w:r>
          </w:p>
        </w:tc>
      </w:tr>
      <w:tr w:rsidR="00306D2A" w:rsidTr="00306D2A">
        <w:tc>
          <w:tcPr>
            <w:tcW w:w="3458" w:type="dxa"/>
          </w:tcPr>
          <w:p w:rsidR="00431DFE" w:rsidRDefault="00306D2A" w:rsidP="00306D2A">
            <w:pPr>
              <w:tabs>
                <w:tab w:val="left" w:pos="284"/>
              </w:tabs>
              <w:ind w:left="284" w:hanging="284"/>
            </w:pPr>
            <w:r>
              <w:tab/>
            </w:r>
            <w:r w:rsidR="00431DFE">
              <w:t xml:space="preserve">Sanktion nach § 10 Abs.1 </w:t>
            </w:r>
            <w:proofErr w:type="spellStart"/>
            <w:r w:rsidR="00431DFE">
              <w:t>AlVG</w:t>
            </w:r>
            <w:proofErr w:type="spellEnd"/>
            <w:r w:rsidR="00431DFE">
              <w:t xml:space="preserve"> (010, 210, NICHT B10)</w:t>
            </w:r>
          </w:p>
        </w:tc>
        <w:tc>
          <w:tcPr>
            <w:tcW w:w="1134" w:type="dxa"/>
          </w:tcPr>
          <w:p w:rsidR="00431DFE" w:rsidRPr="00431DFE" w:rsidRDefault="00431DFE" w:rsidP="00431DFE">
            <w:pPr>
              <w:jc w:val="center"/>
              <w:rPr>
                <w:b/>
              </w:rPr>
            </w:pPr>
          </w:p>
        </w:tc>
        <w:tc>
          <w:tcPr>
            <w:tcW w:w="1134" w:type="dxa"/>
          </w:tcPr>
          <w:p w:rsidR="00431DFE" w:rsidRPr="00431DFE" w:rsidRDefault="00431DFE" w:rsidP="00431DFE">
            <w:pPr>
              <w:jc w:val="center"/>
              <w:rPr>
                <w:b/>
              </w:rPr>
            </w:pPr>
            <w:r w:rsidRPr="00431DFE">
              <w:rPr>
                <w:b/>
              </w:rPr>
              <w:t>X</w:t>
            </w:r>
          </w:p>
        </w:tc>
        <w:tc>
          <w:tcPr>
            <w:tcW w:w="9184" w:type="dxa"/>
          </w:tcPr>
          <w:p w:rsidR="00431DFE" w:rsidRPr="00306D2A" w:rsidRDefault="00431DFE" w:rsidP="00306D2A">
            <w:pPr>
              <w:tabs>
                <w:tab w:val="left" w:pos="1736"/>
              </w:tabs>
              <w:rPr>
                <w:rFonts w:cstheme="minorHAnsi"/>
              </w:rPr>
            </w:pPr>
            <w:r w:rsidRPr="00306D2A">
              <w:rPr>
                <w:rFonts w:cstheme="minorHAnsi"/>
              </w:rPr>
              <w:t xml:space="preserve">Die </w:t>
            </w:r>
            <w:r w:rsidR="00E94547" w:rsidRPr="00306D2A">
              <w:rPr>
                <w:rFonts w:cstheme="minorHAnsi"/>
              </w:rPr>
              <w:t>Leistung bleibt eingestellt</w:t>
            </w:r>
          </w:p>
        </w:tc>
      </w:tr>
      <w:tr w:rsidR="00306D2A" w:rsidTr="000E199E">
        <w:tc>
          <w:tcPr>
            <w:tcW w:w="3458" w:type="dxa"/>
          </w:tcPr>
          <w:p w:rsidR="00306D2A" w:rsidRDefault="00306D2A" w:rsidP="000038EF">
            <w:pPr>
              <w:tabs>
                <w:tab w:val="left" w:pos="284"/>
              </w:tabs>
              <w:ind w:left="284" w:hanging="284"/>
            </w:pPr>
            <w:r>
              <w:tab/>
              <w:t xml:space="preserve">Bescheid nach § 10 Abs.4 </w:t>
            </w:r>
            <w:proofErr w:type="spellStart"/>
            <w:r>
              <w:t>AlVG</w:t>
            </w:r>
            <w:proofErr w:type="spellEnd"/>
            <w:r>
              <w:t xml:space="preserve"> (</w:t>
            </w:r>
            <w:proofErr w:type="spellStart"/>
            <w:r w:rsidR="000038EF">
              <w:t>konzeptiver</w:t>
            </w:r>
            <w:proofErr w:type="spellEnd"/>
            <w:r w:rsidR="000038EF">
              <w:t xml:space="preserve"> Bescheid, kein TNB - </w:t>
            </w:r>
            <w:r>
              <w:t>einzelne Schulungstage)</w:t>
            </w:r>
          </w:p>
        </w:tc>
        <w:tc>
          <w:tcPr>
            <w:tcW w:w="1134" w:type="dxa"/>
          </w:tcPr>
          <w:p w:rsidR="00306D2A" w:rsidRPr="00431DFE" w:rsidRDefault="00306D2A" w:rsidP="000E199E">
            <w:pPr>
              <w:jc w:val="center"/>
              <w:rPr>
                <w:b/>
              </w:rPr>
            </w:pPr>
            <w:r>
              <w:rPr>
                <w:b/>
              </w:rPr>
              <w:t>X</w:t>
            </w:r>
          </w:p>
        </w:tc>
        <w:tc>
          <w:tcPr>
            <w:tcW w:w="1134" w:type="dxa"/>
          </w:tcPr>
          <w:p w:rsidR="00306D2A" w:rsidRPr="00431DFE" w:rsidRDefault="00306D2A" w:rsidP="000E199E">
            <w:pPr>
              <w:jc w:val="center"/>
              <w:rPr>
                <w:b/>
              </w:rPr>
            </w:pPr>
          </w:p>
        </w:tc>
        <w:tc>
          <w:tcPr>
            <w:tcW w:w="9184" w:type="dxa"/>
          </w:tcPr>
          <w:p w:rsidR="00306D2A" w:rsidRPr="00306D2A" w:rsidRDefault="00306D2A" w:rsidP="000038EF">
            <w:pPr>
              <w:tabs>
                <w:tab w:val="left" w:pos="1736"/>
              </w:tabs>
              <w:rPr>
                <w:rFonts w:cstheme="minorHAnsi"/>
              </w:rPr>
            </w:pPr>
            <w:r w:rsidRPr="00306D2A">
              <w:rPr>
                <w:rFonts w:cstheme="minorHAnsi"/>
              </w:rPr>
              <w:t>Die Leistung ist durchgehend anzuweisen</w:t>
            </w:r>
            <w:r w:rsidR="000038EF">
              <w:rPr>
                <w:rFonts w:cstheme="minorHAnsi"/>
              </w:rPr>
              <w:t>. W</w:t>
            </w:r>
            <w:r w:rsidRPr="00306D2A">
              <w:rPr>
                <w:rFonts w:cstheme="minorHAnsi"/>
              </w:rPr>
              <w:t xml:space="preserve">ird das Beschwerdeverfahren beendet und wird der Bescheid des AMS bestätigt, so sind die wegen des Rechtsmittelverfahrens zu Unrecht ausbezahlten Beträge mit gesondertem (neu geschaffenen) Rückforderungsbescheid nach § 25 Abs.1 letzter Satz </w:t>
            </w:r>
            <w:proofErr w:type="spellStart"/>
            <w:r w:rsidR="000038EF">
              <w:rPr>
                <w:rFonts w:cstheme="minorHAnsi"/>
              </w:rPr>
              <w:t>AlVG</w:t>
            </w:r>
            <w:proofErr w:type="spellEnd"/>
            <w:r w:rsidRPr="00306D2A">
              <w:rPr>
                <w:rFonts w:cstheme="minorHAnsi"/>
              </w:rPr>
              <w:t xml:space="preserve">(TNB 690)  </w:t>
            </w:r>
            <w:proofErr w:type="spellStart"/>
            <w:r w:rsidRPr="00306D2A">
              <w:rPr>
                <w:rFonts w:cstheme="minorHAnsi"/>
              </w:rPr>
              <w:t>rückzufordern</w:t>
            </w:r>
            <w:proofErr w:type="spellEnd"/>
          </w:p>
        </w:tc>
      </w:tr>
      <w:tr w:rsidR="00306D2A" w:rsidTr="00306D2A">
        <w:tc>
          <w:tcPr>
            <w:tcW w:w="3458" w:type="dxa"/>
          </w:tcPr>
          <w:p w:rsidR="00431DFE" w:rsidRDefault="00306D2A" w:rsidP="00306D2A">
            <w:pPr>
              <w:tabs>
                <w:tab w:val="left" w:pos="284"/>
              </w:tabs>
              <w:ind w:left="284" w:hanging="284"/>
            </w:pPr>
            <w:r>
              <w:tab/>
            </w:r>
            <w:proofErr w:type="spellStart"/>
            <w:r w:rsidR="00431DFE">
              <w:t>KMversäumnis</w:t>
            </w:r>
            <w:proofErr w:type="spellEnd"/>
            <w:r w:rsidR="00431DFE">
              <w:t xml:space="preserve"> über 1 Woche (086, 286)</w:t>
            </w:r>
          </w:p>
        </w:tc>
        <w:tc>
          <w:tcPr>
            <w:tcW w:w="1134" w:type="dxa"/>
          </w:tcPr>
          <w:p w:rsidR="00431DFE" w:rsidRPr="00431DFE" w:rsidRDefault="00431DFE" w:rsidP="00431DFE">
            <w:pPr>
              <w:jc w:val="center"/>
              <w:rPr>
                <w:b/>
              </w:rPr>
            </w:pPr>
          </w:p>
        </w:tc>
        <w:tc>
          <w:tcPr>
            <w:tcW w:w="1134" w:type="dxa"/>
          </w:tcPr>
          <w:p w:rsidR="00431DFE" w:rsidRPr="00431DFE" w:rsidRDefault="00E94547" w:rsidP="00431DFE">
            <w:pPr>
              <w:jc w:val="center"/>
              <w:rPr>
                <w:b/>
              </w:rPr>
            </w:pPr>
            <w:r w:rsidRPr="00431DFE">
              <w:rPr>
                <w:b/>
              </w:rPr>
              <w:t>X</w:t>
            </w:r>
          </w:p>
        </w:tc>
        <w:tc>
          <w:tcPr>
            <w:tcW w:w="9184" w:type="dxa"/>
          </w:tcPr>
          <w:p w:rsidR="00431DFE" w:rsidRPr="00306D2A" w:rsidRDefault="00E94547" w:rsidP="00306D2A">
            <w:pPr>
              <w:tabs>
                <w:tab w:val="left" w:pos="1736"/>
              </w:tabs>
              <w:rPr>
                <w:rFonts w:cstheme="minorHAnsi"/>
              </w:rPr>
            </w:pPr>
            <w:r w:rsidRPr="00306D2A">
              <w:rPr>
                <w:rFonts w:cstheme="minorHAnsi"/>
              </w:rPr>
              <w:t>Die Leistung bleibt eingestellt</w:t>
            </w:r>
          </w:p>
        </w:tc>
      </w:tr>
      <w:tr w:rsidR="00306D2A" w:rsidTr="00306D2A">
        <w:tc>
          <w:tcPr>
            <w:tcW w:w="3458" w:type="dxa"/>
          </w:tcPr>
          <w:p w:rsidR="00431DFE" w:rsidRDefault="00306D2A" w:rsidP="00306D2A">
            <w:pPr>
              <w:tabs>
                <w:tab w:val="left" w:pos="284"/>
              </w:tabs>
              <w:ind w:left="284" w:hanging="284"/>
            </w:pPr>
            <w:r>
              <w:tab/>
            </w:r>
            <w:proofErr w:type="spellStart"/>
            <w:r w:rsidR="00E94547">
              <w:t>KMversäumnis</w:t>
            </w:r>
            <w:proofErr w:type="spellEnd"/>
            <w:r w:rsidR="00E94547">
              <w:t xml:space="preserve"> kürzer als 1 Woche (085, 285)</w:t>
            </w:r>
          </w:p>
        </w:tc>
        <w:tc>
          <w:tcPr>
            <w:tcW w:w="1134" w:type="dxa"/>
          </w:tcPr>
          <w:p w:rsidR="00431DFE" w:rsidRPr="00431DFE" w:rsidRDefault="00E94547" w:rsidP="00431DFE">
            <w:pPr>
              <w:jc w:val="center"/>
              <w:rPr>
                <w:b/>
              </w:rPr>
            </w:pPr>
            <w:r>
              <w:rPr>
                <w:b/>
              </w:rPr>
              <w:t>X</w:t>
            </w:r>
          </w:p>
        </w:tc>
        <w:tc>
          <w:tcPr>
            <w:tcW w:w="1134" w:type="dxa"/>
          </w:tcPr>
          <w:p w:rsidR="00431DFE" w:rsidRPr="00431DFE" w:rsidRDefault="00431DFE" w:rsidP="00431DFE">
            <w:pPr>
              <w:jc w:val="center"/>
              <w:rPr>
                <w:b/>
              </w:rPr>
            </w:pPr>
          </w:p>
        </w:tc>
        <w:tc>
          <w:tcPr>
            <w:tcW w:w="9184" w:type="dxa"/>
          </w:tcPr>
          <w:p w:rsidR="00431DFE" w:rsidRPr="00306D2A" w:rsidRDefault="00E94547" w:rsidP="00306D2A">
            <w:pPr>
              <w:tabs>
                <w:tab w:val="left" w:pos="1736"/>
              </w:tabs>
              <w:rPr>
                <w:rFonts w:cstheme="minorHAnsi"/>
              </w:rPr>
            </w:pPr>
            <w:r w:rsidRPr="00306D2A">
              <w:rPr>
                <w:rFonts w:cstheme="minorHAnsi"/>
              </w:rPr>
              <w:t xml:space="preserve">Die Leistung ist durchgehend anzuweisen, wird das Beschwerdeverfahren beendet und wird der Bescheid des AMS bestätigt, so sind die wegen des Rechtsmittelverfahrens zu Unrecht ausbezahlten Beträge mit gesondertem (neu geschaffenen) Rückforderungsbescheid nach § 25 Abs.1 letzter Satz (TNB 690) </w:t>
            </w:r>
            <w:proofErr w:type="spellStart"/>
            <w:r w:rsidR="001B4C8A">
              <w:rPr>
                <w:rFonts w:cstheme="minorHAnsi"/>
              </w:rPr>
              <w:t>rückzufordern</w:t>
            </w:r>
            <w:proofErr w:type="spellEnd"/>
            <w:r w:rsidR="001B4C8A">
              <w:rPr>
                <w:rFonts w:cstheme="minorHAnsi"/>
              </w:rPr>
              <w:t>.</w:t>
            </w:r>
            <w:r w:rsidRPr="00306D2A">
              <w:rPr>
                <w:rFonts w:cstheme="minorHAnsi"/>
              </w:rPr>
              <w:t xml:space="preserve"> </w:t>
            </w:r>
          </w:p>
        </w:tc>
      </w:tr>
      <w:tr w:rsidR="00306D2A" w:rsidTr="00306D2A">
        <w:tc>
          <w:tcPr>
            <w:tcW w:w="3458" w:type="dxa"/>
          </w:tcPr>
          <w:p w:rsidR="00431DFE" w:rsidRDefault="00306D2A" w:rsidP="00306D2A">
            <w:pPr>
              <w:tabs>
                <w:tab w:val="left" w:pos="284"/>
              </w:tabs>
            </w:pPr>
            <w:r>
              <w:tab/>
            </w:r>
            <w:r w:rsidR="00E94547">
              <w:t>Sanktionen mit TNB B10 und B85</w:t>
            </w:r>
          </w:p>
        </w:tc>
        <w:tc>
          <w:tcPr>
            <w:tcW w:w="1134" w:type="dxa"/>
          </w:tcPr>
          <w:p w:rsidR="00431DFE" w:rsidRPr="00431DFE" w:rsidRDefault="00E94547" w:rsidP="00431DFE">
            <w:pPr>
              <w:jc w:val="center"/>
              <w:rPr>
                <w:b/>
              </w:rPr>
            </w:pPr>
            <w:r>
              <w:rPr>
                <w:b/>
              </w:rPr>
              <w:t>X</w:t>
            </w:r>
          </w:p>
        </w:tc>
        <w:tc>
          <w:tcPr>
            <w:tcW w:w="1134" w:type="dxa"/>
          </w:tcPr>
          <w:p w:rsidR="00431DFE" w:rsidRPr="00431DFE" w:rsidRDefault="00431DFE" w:rsidP="00431DFE">
            <w:pPr>
              <w:jc w:val="center"/>
              <w:rPr>
                <w:b/>
              </w:rPr>
            </w:pPr>
          </w:p>
        </w:tc>
        <w:tc>
          <w:tcPr>
            <w:tcW w:w="9184" w:type="dxa"/>
          </w:tcPr>
          <w:p w:rsidR="00431DFE" w:rsidRPr="00306D2A" w:rsidRDefault="00E94547" w:rsidP="00306D2A">
            <w:pPr>
              <w:tabs>
                <w:tab w:val="left" w:pos="1736"/>
              </w:tabs>
              <w:rPr>
                <w:rFonts w:cstheme="minorHAnsi"/>
              </w:rPr>
            </w:pPr>
            <w:r w:rsidRPr="00306D2A">
              <w:rPr>
                <w:rFonts w:cstheme="minorHAnsi"/>
              </w:rPr>
              <w:t>Die Versicherung läuft weiter</w:t>
            </w:r>
          </w:p>
        </w:tc>
      </w:tr>
      <w:tr w:rsidR="00306D2A" w:rsidTr="00306D2A">
        <w:tc>
          <w:tcPr>
            <w:tcW w:w="3458" w:type="dxa"/>
          </w:tcPr>
          <w:p w:rsidR="00431DFE" w:rsidRDefault="00306D2A" w:rsidP="00306D2A">
            <w:pPr>
              <w:tabs>
                <w:tab w:val="left" w:pos="284"/>
              </w:tabs>
            </w:pPr>
            <w:r>
              <w:tab/>
            </w:r>
            <w:r w:rsidR="00E94547">
              <w:t xml:space="preserve">Bescheide nach § 11 </w:t>
            </w:r>
            <w:proofErr w:type="spellStart"/>
            <w:r w:rsidR="00E94547">
              <w:t>AlVG</w:t>
            </w:r>
            <w:proofErr w:type="spellEnd"/>
          </w:p>
        </w:tc>
        <w:tc>
          <w:tcPr>
            <w:tcW w:w="1134" w:type="dxa"/>
          </w:tcPr>
          <w:p w:rsidR="00431DFE" w:rsidRPr="00431DFE" w:rsidRDefault="00A40A1D" w:rsidP="00431DFE">
            <w:pPr>
              <w:jc w:val="center"/>
              <w:rPr>
                <w:b/>
              </w:rPr>
            </w:pPr>
            <w:r>
              <w:rPr>
                <w:b/>
              </w:rPr>
              <w:t>X</w:t>
            </w:r>
          </w:p>
        </w:tc>
        <w:tc>
          <w:tcPr>
            <w:tcW w:w="1134" w:type="dxa"/>
          </w:tcPr>
          <w:p w:rsidR="00431DFE" w:rsidRPr="00431DFE" w:rsidRDefault="00431DFE" w:rsidP="00431DFE">
            <w:pPr>
              <w:jc w:val="center"/>
              <w:rPr>
                <w:b/>
              </w:rPr>
            </w:pPr>
          </w:p>
        </w:tc>
        <w:tc>
          <w:tcPr>
            <w:tcW w:w="9184" w:type="dxa"/>
          </w:tcPr>
          <w:p w:rsidR="00431DFE" w:rsidRPr="00306D2A" w:rsidRDefault="00A40A1D" w:rsidP="000038EF">
            <w:pPr>
              <w:tabs>
                <w:tab w:val="left" w:pos="1736"/>
              </w:tabs>
              <w:rPr>
                <w:rFonts w:cstheme="minorHAnsi"/>
              </w:rPr>
            </w:pPr>
            <w:r w:rsidRPr="00306D2A">
              <w:rPr>
                <w:rFonts w:cstheme="minorHAnsi"/>
              </w:rPr>
              <w:t>Die Leistung ist durchgehend anzuweisen, wird das Beschwerdeverfahren beendet und wird der Bescheid des AMS bestätigt, so sind die wegen des Rechtsmittelverfahrens zu Unrecht ausbezahlten Beträge mit gesondertem (neu geschaffenen) Rückforderungsbescheid nach § 2</w:t>
            </w:r>
            <w:r w:rsidR="001B4C8A">
              <w:rPr>
                <w:rFonts w:cstheme="minorHAnsi"/>
              </w:rPr>
              <w:t xml:space="preserve">5 Abs.1 letzter Satz (TNB 690) </w:t>
            </w:r>
            <w:proofErr w:type="spellStart"/>
            <w:r w:rsidR="001B4C8A">
              <w:rPr>
                <w:rFonts w:cstheme="minorHAnsi"/>
              </w:rPr>
              <w:t>rückzufordern</w:t>
            </w:r>
            <w:proofErr w:type="spellEnd"/>
            <w:r w:rsidR="001B4C8A">
              <w:rPr>
                <w:rFonts w:cstheme="minorHAnsi"/>
              </w:rPr>
              <w:t>.</w:t>
            </w:r>
          </w:p>
        </w:tc>
      </w:tr>
    </w:tbl>
    <w:p w:rsidR="00A40A1D" w:rsidRDefault="00A40A1D"/>
    <w:p w:rsidR="00820858" w:rsidRDefault="00820858"/>
    <w:tbl>
      <w:tblPr>
        <w:tblStyle w:val="Tabellenraster"/>
        <w:tblW w:w="14910" w:type="dxa"/>
        <w:tblLayout w:type="fixed"/>
        <w:tblLook w:val="04A0" w:firstRow="1" w:lastRow="0" w:firstColumn="1" w:lastColumn="0" w:noHBand="0" w:noVBand="1"/>
      </w:tblPr>
      <w:tblGrid>
        <w:gridCol w:w="3458"/>
        <w:gridCol w:w="1134"/>
        <w:gridCol w:w="1134"/>
        <w:gridCol w:w="9184"/>
      </w:tblGrid>
      <w:tr w:rsidR="00A40A1D" w:rsidRPr="00431DFE" w:rsidTr="00161C83">
        <w:trPr>
          <w:tblHeader/>
        </w:trPr>
        <w:tc>
          <w:tcPr>
            <w:tcW w:w="3458" w:type="dxa"/>
            <w:shd w:val="clear" w:color="auto" w:fill="BFBFBF" w:themeFill="background1" w:themeFillShade="BF"/>
          </w:tcPr>
          <w:p w:rsidR="00A40A1D" w:rsidRPr="00431DFE" w:rsidRDefault="00A40A1D" w:rsidP="00161C83">
            <w:pPr>
              <w:jc w:val="center"/>
              <w:rPr>
                <w:b/>
              </w:rPr>
            </w:pPr>
            <w:proofErr w:type="spellStart"/>
            <w:r w:rsidRPr="00431DFE">
              <w:rPr>
                <w:b/>
              </w:rPr>
              <w:t>Bescheidart</w:t>
            </w:r>
            <w:proofErr w:type="spellEnd"/>
          </w:p>
        </w:tc>
        <w:tc>
          <w:tcPr>
            <w:tcW w:w="1134" w:type="dxa"/>
            <w:shd w:val="clear" w:color="auto" w:fill="BFBFBF" w:themeFill="background1" w:themeFillShade="BF"/>
          </w:tcPr>
          <w:p w:rsidR="00A40A1D" w:rsidRPr="00431DFE" w:rsidRDefault="00A40A1D" w:rsidP="00161C83">
            <w:pPr>
              <w:jc w:val="center"/>
              <w:rPr>
                <w:b/>
              </w:rPr>
            </w:pPr>
            <w:proofErr w:type="spellStart"/>
            <w:r w:rsidRPr="00431DFE">
              <w:rPr>
                <w:b/>
              </w:rPr>
              <w:t>aW</w:t>
            </w:r>
            <w:proofErr w:type="spellEnd"/>
          </w:p>
        </w:tc>
        <w:tc>
          <w:tcPr>
            <w:tcW w:w="1134" w:type="dxa"/>
            <w:shd w:val="clear" w:color="auto" w:fill="BFBFBF" w:themeFill="background1" w:themeFillShade="BF"/>
          </w:tcPr>
          <w:p w:rsidR="00A40A1D" w:rsidRPr="00431DFE" w:rsidRDefault="00A40A1D" w:rsidP="00161C83">
            <w:pPr>
              <w:jc w:val="center"/>
              <w:rPr>
                <w:b/>
              </w:rPr>
            </w:pPr>
            <w:r w:rsidRPr="00431DFE">
              <w:rPr>
                <w:b/>
              </w:rPr>
              <w:t xml:space="preserve">Keine </w:t>
            </w:r>
            <w:proofErr w:type="spellStart"/>
            <w:r w:rsidRPr="00431DFE">
              <w:rPr>
                <w:b/>
              </w:rPr>
              <w:t>aW</w:t>
            </w:r>
            <w:proofErr w:type="spellEnd"/>
          </w:p>
        </w:tc>
        <w:tc>
          <w:tcPr>
            <w:tcW w:w="9184" w:type="dxa"/>
            <w:shd w:val="clear" w:color="auto" w:fill="BFBFBF" w:themeFill="background1" w:themeFillShade="BF"/>
          </w:tcPr>
          <w:p w:rsidR="00A40A1D" w:rsidRPr="00431DFE" w:rsidRDefault="00A40A1D" w:rsidP="00161C83">
            <w:pPr>
              <w:jc w:val="center"/>
              <w:rPr>
                <w:b/>
              </w:rPr>
            </w:pPr>
            <w:r w:rsidRPr="00431DFE">
              <w:rPr>
                <w:b/>
              </w:rPr>
              <w:t>Auswirkungen</w:t>
            </w:r>
            <w:r>
              <w:rPr>
                <w:b/>
              </w:rPr>
              <w:t xml:space="preserve"> bei Einbringung einer Beschwerde gegen den Bescheid (nach </w:t>
            </w:r>
            <w:proofErr w:type="spellStart"/>
            <w:r>
              <w:rPr>
                <w:b/>
              </w:rPr>
              <w:t>vollst</w:t>
            </w:r>
            <w:proofErr w:type="spellEnd"/>
            <w:r>
              <w:rPr>
                <w:b/>
              </w:rPr>
              <w:t>. Umsetzung)</w:t>
            </w:r>
          </w:p>
        </w:tc>
      </w:tr>
      <w:tr w:rsidR="00306D2A" w:rsidTr="001D0DBF">
        <w:tc>
          <w:tcPr>
            <w:tcW w:w="14910" w:type="dxa"/>
            <w:gridSpan w:val="4"/>
          </w:tcPr>
          <w:p w:rsidR="00306D2A" w:rsidRPr="00306D2A" w:rsidRDefault="00306D2A" w:rsidP="00306D2A">
            <w:pPr>
              <w:tabs>
                <w:tab w:val="left" w:pos="1736"/>
              </w:tabs>
              <w:rPr>
                <w:rFonts w:cstheme="minorHAnsi"/>
              </w:rPr>
            </w:pPr>
            <w:proofErr w:type="spellStart"/>
            <w:r w:rsidRPr="00306D2A">
              <w:rPr>
                <w:rFonts w:ascii="Times New Roman" w:hAnsi="Times New Roman" w:cs="Times New Roman"/>
                <w:b/>
                <w:sz w:val="24"/>
                <w:szCs w:val="24"/>
              </w:rPr>
              <w:t>Ruhensbescheide</w:t>
            </w:r>
            <w:proofErr w:type="spellEnd"/>
          </w:p>
        </w:tc>
      </w:tr>
      <w:tr w:rsidR="00306D2A" w:rsidTr="00306D2A">
        <w:tc>
          <w:tcPr>
            <w:tcW w:w="3458" w:type="dxa"/>
          </w:tcPr>
          <w:p w:rsidR="00431DFE" w:rsidRDefault="00306D2A" w:rsidP="00306D2A">
            <w:pPr>
              <w:tabs>
                <w:tab w:val="left" w:pos="284"/>
              </w:tabs>
              <w:ind w:left="284" w:hanging="284"/>
            </w:pPr>
            <w:r>
              <w:tab/>
            </w:r>
            <w:r w:rsidR="00E94547">
              <w:t>Ruhen bei Auslandsaufenthalt mit einer Dauer von über 1 Woche</w:t>
            </w:r>
            <w:r w:rsidR="00921472">
              <w:t xml:space="preserve"> (048, 049, 248, 249)</w:t>
            </w:r>
          </w:p>
          <w:p w:rsidR="000038EF" w:rsidRDefault="000038EF" w:rsidP="00306D2A">
            <w:pPr>
              <w:tabs>
                <w:tab w:val="left" w:pos="284"/>
              </w:tabs>
              <w:ind w:left="284" w:hanging="284"/>
            </w:pPr>
          </w:p>
        </w:tc>
        <w:tc>
          <w:tcPr>
            <w:tcW w:w="1134" w:type="dxa"/>
          </w:tcPr>
          <w:p w:rsidR="00431DFE" w:rsidRPr="00431DFE" w:rsidRDefault="00431DFE" w:rsidP="00431DFE">
            <w:pPr>
              <w:jc w:val="center"/>
              <w:rPr>
                <w:b/>
              </w:rPr>
            </w:pPr>
          </w:p>
        </w:tc>
        <w:tc>
          <w:tcPr>
            <w:tcW w:w="1134" w:type="dxa"/>
          </w:tcPr>
          <w:p w:rsidR="00431DFE" w:rsidRPr="00431DFE" w:rsidRDefault="00E94547" w:rsidP="00431DFE">
            <w:pPr>
              <w:jc w:val="center"/>
              <w:rPr>
                <w:b/>
              </w:rPr>
            </w:pPr>
            <w:r>
              <w:rPr>
                <w:b/>
              </w:rPr>
              <w:t>X</w:t>
            </w:r>
          </w:p>
        </w:tc>
        <w:tc>
          <w:tcPr>
            <w:tcW w:w="9184" w:type="dxa"/>
          </w:tcPr>
          <w:p w:rsidR="00431DFE" w:rsidRPr="00306D2A" w:rsidRDefault="00E94547" w:rsidP="00306D2A">
            <w:pPr>
              <w:tabs>
                <w:tab w:val="left" w:pos="1736"/>
              </w:tabs>
              <w:rPr>
                <w:rFonts w:cstheme="minorHAnsi"/>
              </w:rPr>
            </w:pPr>
            <w:r w:rsidRPr="00306D2A">
              <w:rPr>
                <w:rFonts w:cstheme="minorHAnsi"/>
              </w:rPr>
              <w:t>Der Unterbrechungszeitraum ist als Unterbrechung zu belassen.</w:t>
            </w:r>
          </w:p>
        </w:tc>
      </w:tr>
      <w:tr w:rsidR="00306D2A" w:rsidTr="00306D2A">
        <w:tc>
          <w:tcPr>
            <w:tcW w:w="3458" w:type="dxa"/>
          </w:tcPr>
          <w:p w:rsidR="00431DFE" w:rsidRDefault="00306D2A" w:rsidP="00306D2A">
            <w:pPr>
              <w:tabs>
                <w:tab w:val="left" w:pos="284"/>
              </w:tabs>
            </w:pPr>
            <w:r>
              <w:tab/>
            </w:r>
            <w:r w:rsidR="00E94547">
              <w:t xml:space="preserve">Alle anderen </w:t>
            </w:r>
            <w:proofErr w:type="spellStart"/>
            <w:r w:rsidR="00E94547">
              <w:t>Ruhensbescheide</w:t>
            </w:r>
            <w:proofErr w:type="spellEnd"/>
          </w:p>
        </w:tc>
        <w:tc>
          <w:tcPr>
            <w:tcW w:w="1134" w:type="dxa"/>
          </w:tcPr>
          <w:p w:rsidR="00431DFE" w:rsidRPr="00431DFE" w:rsidRDefault="00E94547" w:rsidP="00431DFE">
            <w:pPr>
              <w:jc w:val="center"/>
              <w:rPr>
                <w:b/>
              </w:rPr>
            </w:pPr>
            <w:r>
              <w:rPr>
                <w:b/>
              </w:rPr>
              <w:t>X</w:t>
            </w:r>
          </w:p>
        </w:tc>
        <w:tc>
          <w:tcPr>
            <w:tcW w:w="1134" w:type="dxa"/>
          </w:tcPr>
          <w:p w:rsidR="00431DFE" w:rsidRPr="00431DFE" w:rsidRDefault="00431DFE" w:rsidP="00431DFE">
            <w:pPr>
              <w:jc w:val="center"/>
              <w:rPr>
                <w:b/>
              </w:rPr>
            </w:pPr>
          </w:p>
        </w:tc>
        <w:tc>
          <w:tcPr>
            <w:tcW w:w="9184" w:type="dxa"/>
          </w:tcPr>
          <w:p w:rsidR="00E94547" w:rsidRPr="00306D2A" w:rsidRDefault="00E94547" w:rsidP="00306D2A">
            <w:pPr>
              <w:tabs>
                <w:tab w:val="left" w:pos="1736"/>
              </w:tabs>
              <w:rPr>
                <w:rFonts w:cstheme="minorHAnsi"/>
              </w:rPr>
            </w:pPr>
            <w:r w:rsidRPr="00306D2A">
              <w:rPr>
                <w:rFonts w:cstheme="minorHAnsi"/>
              </w:rPr>
              <w:t xml:space="preserve">Die Leistung ist auch während des </w:t>
            </w:r>
            <w:proofErr w:type="spellStart"/>
            <w:r w:rsidRPr="00306D2A">
              <w:rPr>
                <w:rFonts w:cstheme="minorHAnsi"/>
              </w:rPr>
              <w:t>Ruhenszeitraumes</w:t>
            </w:r>
            <w:proofErr w:type="spellEnd"/>
            <w:r w:rsidRPr="00306D2A">
              <w:rPr>
                <w:rFonts w:cstheme="minorHAnsi"/>
              </w:rPr>
              <w:t xml:space="preserve"> anzuweisen.</w:t>
            </w:r>
            <w:r w:rsidR="000038EF">
              <w:rPr>
                <w:rFonts w:cstheme="minorHAnsi"/>
              </w:rPr>
              <w:t xml:space="preserve"> </w:t>
            </w:r>
            <w:r w:rsidRPr="00306D2A">
              <w:rPr>
                <w:rFonts w:cstheme="minorHAnsi"/>
              </w:rPr>
              <w:t xml:space="preserve">Die Person ist so zu betreuen, wie es auch während des „normalen“ </w:t>
            </w:r>
            <w:proofErr w:type="gramStart"/>
            <w:r w:rsidRPr="00306D2A">
              <w:rPr>
                <w:rFonts w:cstheme="minorHAnsi"/>
              </w:rPr>
              <w:t>Leistungsbezug</w:t>
            </w:r>
            <w:proofErr w:type="gramEnd"/>
            <w:r w:rsidRPr="00306D2A">
              <w:rPr>
                <w:rFonts w:cstheme="minorHAnsi"/>
              </w:rPr>
              <w:t xml:space="preserve"> der Fall wäre.</w:t>
            </w:r>
          </w:p>
          <w:p w:rsidR="00431DFE" w:rsidRPr="00306D2A" w:rsidRDefault="00E94547" w:rsidP="00306D2A">
            <w:pPr>
              <w:tabs>
                <w:tab w:val="left" w:pos="1736"/>
              </w:tabs>
              <w:rPr>
                <w:rFonts w:cstheme="minorHAnsi"/>
              </w:rPr>
            </w:pPr>
            <w:r w:rsidRPr="00306D2A">
              <w:rPr>
                <w:rFonts w:cstheme="minorHAnsi"/>
              </w:rPr>
              <w:t xml:space="preserve">Wird das Beschwerdeverfahren beendet und wird der Bescheid des AMS bestätigt, so sind die wegen des Rechtsmittelverfahrens zu Unrecht ausbezahlten Beträge mit gesondertem (neu geschaffenen) Rückforderungsbescheid nach § 25 Abs.1 letzter Satz </w:t>
            </w:r>
            <w:r w:rsidR="000038EF">
              <w:rPr>
                <w:rFonts w:cstheme="minorHAnsi"/>
              </w:rPr>
              <w:t xml:space="preserve">(690) </w:t>
            </w:r>
            <w:proofErr w:type="spellStart"/>
            <w:r w:rsidRPr="00306D2A">
              <w:rPr>
                <w:rFonts w:cstheme="minorHAnsi"/>
              </w:rPr>
              <w:t>rückzufordern</w:t>
            </w:r>
            <w:proofErr w:type="spellEnd"/>
            <w:r w:rsidRPr="00306D2A">
              <w:rPr>
                <w:rFonts w:cstheme="minorHAnsi"/>
              </w:rPr>
              <w:t>.</w:t>
            </w:r>
          </w:p>
        </w:tc>
      </w:tr>
      <w:tr w:rsidR="00306D2A" w:rsidTr="00C31CB0">
        <w:tc>
          <w:tcPr>
            <w:tcW w:w="14910" w:type="dxa"/>
            <w:gridSpan w:val="4"/>
          </w:tcPr>
          <w:p w:rsidR="00306D2A" w:rsidRPr="00306D2A" w:rsidRDefault="00306D2A" w:rsidP="00306D2A">
            <w:pPr>
              <w:tabs>
                <w:tab w:val="left" w:pos="1736"/>
              </w:tabs>
              <w:rPr>
                <w:rFonts w:cstheme="minorHAnsi"/>
              </w:rPr>
            </w:pPr>
            <w:r w:rsidRPr="00306D2A">
              <w:rPr>
                <w:rFonts w:ascii="Times New Roman" w:hAnsi="Times New Roman" w:cs="Times New Roman"/>
                <w:b/>
                <w:sz w:val="24"/>
                <w:szCs w:val="24"/>
              </w:rPr>
              <w:t>Widerrufs-/Rückforderungsbescheide</w:t>
            </w:r>
          </w:p>
        </w:tc>
      </w:tr>
      <w:tr w:rsidR="00306D2A" w:rsidTr="00306D2A">
        <w:trPr>
          <w:trHeight w:val="720"/>
        </w:trPr>
        <w:tc>
          <w:tcPr>
            <w:tcW w:w="3458" w:type="dxa"/>
          </w:tcPr>
          <w:p w:rsidR="00431DFE" w:rsidRDefault="00306D2A" w:rsidP="000038EF">
            <w:pPr>
              <w:tabs>
                <w:tab w:val="left" w:pos="284"/>
              </w:tabs>
              <w:ind w:left="284" w:hanging="284"/>
            </w:pPr>
            <w:r>
              <w:tab/>
            </w:r>
            <w:r w:rsidR="00E94547">
              <w:t>RF Be</w:t>
            </w:r>
            <w:r w:rsidR="000038EF">
              <w:t>sch</w:t>
            </w:r>
            <w:r w:rsidR="00E94547">
              <w:t xml:space="preserve">eide nach Ende des </w:t>
            </w:r>
            <w:r w:rsidR="000038EF">
              <w:t>Rechtsmittel</w:t>
            </w:r>
            <w:r w:rsidR="00E94547">
              <w:t xml:space="preserve">verfahrens </w:t>
            </w:r>
            <w:r w:rsidR="000038EF">
              <w:br/>
            </w:r>
            <w:r w:rsidR="00E94547">
              <w:t>(690, 890)</w:t>
            </w:r>
          </w:p>
        </w:tc>
        <w:tc>
          <w:tcPr>
            <w:tcW w:w="1134" w:type="dxa"/>
          </w:tcPr>
          <w:p w:rsidR="00431DFE" w:rsidRPr="00431DFE" w:rsidRDefault="00431DFE" w:rsidP="00431DFE">
            <w:pPr>
              <w:jc w:val="center"/>
              <w:rPr>
                <w:b/>
              </w:rPr>
            </w:pPr>
          </w:p>
        </w:tc>
        <w:tc>
          <w:tcPr>
            <w:tcW w:w="1134" w:type="dxa"/>
          </w:tcPr>
          <w:p w:rsidR="00431DFE" w:rsidRPr="00431DFE" w:rsidRDefault="00E94547" w:rsidP="00431DFE">
            <w:pPr>
              <w:jc w:val="center"/>
              <w:rPr>
                <w:b/>
              </w:rPr>
            </w:pPr>
            <w:r>
              <w:rPr>
                <w:b/>
              </w:rPr>
              <w:t>X</w:t>
            </w:r>
          </w:p>
        </w:tc>
        <w:tc>
          <w:tcPr>
            <w:tcW w:w="9184" w:type="dxa"/>
          </w:tcPr>
          <w:p w:rsidR="00E94547" w:rsidRPr="00306D2A" w:rsidRDefault="00E94547" w:rsidP="00306D2A">
            <w:pPr>
              <w:tabs>
                <w:tab w:val="left" w:pos="1736"/>
              </w:tabs>
              <w:rPr>
                <w:rFonts w:cstheme="minorHAnsi"/>
              </w:rPr>
            </w:pPr>
            <w:r w:rsidRPr="00306D2A">
              <w:rPr>
                <w:rFonts w:cstheme="minorHAnsi"/>
              </w:rPr>
              <w:t>Alle Eintreibungsschritte können sofort verfügt werden.</w:t>
            </w:r>
          </w:p>
          <w:p w:rsidR="00431DFE" w:rsidRPr="00306D2A" w:rsidRDefault="00431DFE" w:rsidP="00306D2A">
            <w:pPr>
              <w:tabs>
                <w:tab w:val="left" w:pos="1736"/>
              </w:tabs>
              <w:rPr>
                <w:rFonts w:cstheme="minorHAnsi"/>
              </w:rPr>
            </w:pPr>
          </w:p>
        </w:tc>
      </w:tr>
      <w:tr w:rsidR="00306D2A" w:rsidTr="00306D2A">
        <w:tc>
          <w:tcPr>
            <w:tcW w:w="3458" w:type="dxa"/>
          </w:tcPr>
          <w:p w:rsidR="00431DFE" w:rsidRDefault="00306D2A" w:rsidP="005B1D2A">
            <w:pPr>
              <w:tabs>
                <w:tab w:val="left" w:pos="284"/>
              </w:tabs>
            </w:pPr>
            <w:r>
              <w:tab/>
            </w:r>
            <w:r w:rsidR="00E94547">
              <w:t xml:space="preserve">Alle anderen RF </w:t>
            </w:r>
            <w:r w:rsidR="005B1D2A">
              <w:t>B</w:t>
            </w:r>
            <w:r w:rsidR="00E94547">
              <w:t>escheide</w:t>
            </w:r>
          </w:p>
        </w:tc>
        <w:tc>
          <w:tcPr>
            <w:tcW w:w="1134" w:type="dxa"/>
          </w:tcPr>
          <w:p w:rsidR="00431DFE" w:rsidRPr="00431DFE" w:rsidRDefault="00E94547" w:rsidP="00431DFE">
            <w:pPr>
              <w:jc w:val="center"/>
              <w:rPr>
                <w:b/>
              </w:rPr>
            </w:pPr>
            <w:r>
              <w:rPr>
                <w:b/>
              </w:rPr>
              <w:t>X</w:t>
            </w:r>
          </w:p>
        </w:tc>
        <w:tc>
          <w:tcPr>
            <w:tcW w:w="1134" w:type="dxa"/>
          </w:tcPr>
          <w:p w:rsidR="00431DFE" w:rsidRPr="00431DFE" w:rsidRDefault="00431DFE" w:rsidP="00431DFE">
            <w:pPr>
              <w:jc w:val="center"/>
              <w:rPr>
                <w:b/>
              </w:rPr>
            </w:pPr>
          </w:p>
        </w:tc>
        <w:tc>
          <w:tcPr>
            <w:tcW w:w="9184" w:type="dxa"/>
          </w:tcPr>
          <w:p w:rsidR="00E94547" w:rsidRPr="00306D2A" w:rsidRDefault="000038EF" w:rsidP="00306D2A">
            <w:pPr>
              <w:tabs>
                <w:tab w:val="left" w:pos="1736"/>
              </w:tabs>
              <w:rPr>
                <w:rFonts w:cstheme="minorHAnsi"/>
              </w:rPr>
            </w:pPr>
            <w:r>
              <w:rPr>
                <w:rFonts w:cstheme="minorHAnsi"/>
              </w:rPr>
              <w:t>Es kommt</w:t>
            </w:r>
            <w:r w:rsidR="00B3310E">
              <w:rPr>
                <w:rFonts w:cstheme="minorHAnsi"/>
              </w:rPr>
              <w:t xml:space="preserve"> </w:t>
            </w:r>
            <w:r>
              <w:rPr>
                <w:rFonts w:cstheme="minorHAnsi"/>
              </w:rPr>
              <w:t xml:space="preserve">ihnen </w:t>
            </w:r>
            <w:r w:rsidR="00E94547" w:rsidRPr="00306D2A">
              <w:rPr>
                <w:rFonts w:cstheme="minorHAnsi"/>
              </w:rPr>
              <w:t>immer aufschiebende Wirkung zu. Es darf daher kein Einbehalt erfolgen und kein Mahnlauf initiiert werden.</w:t>
            </w:r>
          </w:p>
          <w:p w:rsidR="00431DFE" w:rsidRPr="00306D2A" w:rsidRDefault="00E94547" w:rsidP="001B4C8A">
            <w:pPr>
              <w:tabs>
                <w:tab w:val="left" w:pos="1736"/>
              </w:tabs>
              <w:rPr>
                <w:rFonts w:cstheme="minorHAnsi"/>
              </w:rPr>
            </w:pPr>
            <w:r w:rsidRPr="00306D2A">
              <w:rPr>
                <w:rFonts w:cstheme="minorHAnsi"/>
              </w:rPr>
              <w:t xml:space="preserve">Offene Forderungen zu der bekämpften Rückforderung sind mittels der </w:t>
            </w:r>
            <w:proofErr w:type="spellStart"/>
            <w:r w:rsidRPr="00306D2A">
              <w:rPr>
                <w:rFonts w:cstheme="minorHAnsi"/>
              </w:rPr>
              <w:t>Belegart</w:t>
            </w:r>
            <w:proofErr w:type="spellEnd"/>
            <w:r w:rsidRPr="00306D2A">
              <w:rPr>
                <w:rFonts w:cstheme="minorHAnsi"/>
              </w:rPr>
              <w:t xml:space="preserve"> VAB vorläufig außer Evidenz zu nehmen. </w:t>
            </w:r>
            <w:r w:rsidR="005769D5" w:rsidRPr="005769D5">
              <w:rPr>
                <w:rFonts w:cstheme="minorHAnsi"/>
              </w:rPr>
              <w:t>Bereits vom Leistungsbezug einbehaltende</w:t>
            </w:r>
            <w:r w:rsidR="001B4C8A">
              <w:rPr>
                <w:rFonts w:cstheme="minorHAnsi"/>
              </w:rPr>
              <w:t xml:space="preserve"> </w:t>
            </w:r>
            <w:r w:rsidR="005769D5" w:rsidRPr="005769D5">
              <w:rPr>
                <w:rFonts w:cstheme="minorHAnsi"/>
              </w:rPr>
              <w:t xml:space="preserve">(Teil-)Beträge sind mittels </w:t>
            </w:r>
            <w:proofErr w:type="spellStart"/>
            <w:r w:rsidR="005769D5" w:rsidRPr="005769D5">
              <w:rPr>
                <w:rFonts w:cstheme="minorHAnsi"/>
              </w:rPr>
              <w:t>Belegart</w:t>
            </w:r>
            <w:proofErr w:type="spellEnd"/>
            <w:r w:rsidR="005769D5" w:rsidRPr="005769D5">
              <w:rPr>
                <w:rFonts w:cstheme="minorHAnsi"/>
              </w:rPr>
              <w:t xml:space="preserve"> VNZ nachzuzahlen. </w:t>
            </w:r>
            <w:r w:rsidRPr="00306D2A">
              <w:rPr>
                <w:rFonts w:cstheme="minorHAnsi"/>
              </w:rPr>
              <w:t xml:space="preserve">Die so außer Evidenz genommenen bzw. nachbezahlten Beträge sind nach Abschluss des Rechtsmittelverfahrens und ggf. nach Korrektur des Leistungsbezuges mittels </w:t>
            </w:r>
            <w:proofErr w:type="spellStart"/>
            <w:r w:rsidRPr="00306D2A">
              <w:rPr>
                <w:rFonts w:cstheme="minorHAnsi"/>
              </w:rPr>
              <w:t>Belegart</w:t>
            </w:r>
            <w:proofErr w:type="spellEnd"/>
            <w:r w:rsidRPr="00306D2A">
              <w:rPr>
                <w:rFonts w:cstheme="minorHAnsi"/>
              </w:rPr>
              <w:t xml:space="preserve"> VRF wieder einzugeben.</w:t>
            </w:r>
            <w:bookmarkStart w:id="0" w:name="_GoBack"/>
            <w:bookmarkEnd w:id="0"/>
          </w:p>
        </w:tc>
      </w:tr>
      <w:tr w:rsidR="001B4C8A" w:rsidRPr="000038EF" w:rsidTr="00CD02BE">
        <w:tc>
          <w:tcPr>
            <w:tcW w:w="14910" w:type="dxa"/>
            <w:gridSpan w:val="4"/>
          </w:tcPr>
          <w:p w:rsidR="001B4C8A" w:rsidRPr="000038EF" w:rsidRDefault="001B4C8A" w:rsidP="000038EF">
            <w:pPr>
              <w:tabs>
                <w:tab w:val="left" w:pos="1736"/>
              </w:tabs>
              <w:rPr>
                <w:rFonts w:ascii="Times New Roman" w:hAnsi="Times New Roman" w:cs="Times New Roman"/>
                <w:b/>
                <w:sz w:val="24"/>
                <w:szCs w:val="24"/>
              </w:rPr>
            </w:pPr>
            <w:r w:rsidRPr="000038EF">
              <w:rPr>
                <w:rFonts w:ascii="Times New Roman" w:hAnsi="Times New Roman" w:cs="Times New Roman"/>
                <w:b/>
                <w:sz w:val="24"/>
                <w:szCs w:val="24"/>
              </w:rPr>
              <w:t>Aussetzbescheid</w:t>
            </w:r>
          </w:p>
        </w:tc>
      </w:tr>
      <w:tr w:rsidR="00306D2A" w:rsidTr="00306D2A">
        <w:tc>
          <w:tcPr>
            <w:tcW w:w="3458" w:type="dxa"/>
          </w:tcPr>
          <w:p w:rsidR="00431DFE" w:rsidRDefault="000038EF" w:rsidP="0009110A">
            <w:r>
              <w:t>Bescheid nach § 38 AVG</w:t>
            </w:r>
          </w:p>
        </w:tc>
        <w:tc>
          <w:tcPr>
            <w:tcW w:w="1134" w:type="dxa"/>
          </w:tcPr>
          <w:p w:rsidR="00431DFE" w:rsidRPr="00431DFE" w:rsidRDefault="00431DFE" w:rsidP="00431DFE">
            <w:pPr>
              <w:jc w:val="center"/>
              <w:rPr>
                <w:b/>
              </w:rPr>
            </w:pPr>
          </w:p>
        </w:tc>
        <w:tc>
          <w:tcPr>
            <w:tcW w:w="1134" w:type="dxa"/>
          </w:tcPr>
          <w:p w:rsidR="00431DFE" w:rsidRPr="00431DFE" w:rsidRDefault="000038EF" w:rsidP="00431DFE">
            <w:pPr>
              <w:jc w:val="center"/>
              <w:rPr>
                <w:b/>
              </w:rPr>
            </w:pPr>
            <w:r>
              <w:rPr>
                <w:b/>
              </w:rPr>
              <w:t>X</w:t>
            </w:r>
          </w:p>
        </w:tc>
        <w:tc>
          <w:tcPr>
            <w:tcW w:w="9184" w:type="dxa"/>
          </w:tcPr>
          <w:p w:rsidR="00431DFE" w:rsidRDefault="000038EF" w:rsidP="000038EF">
            <w:pPr>
              <w:tabs>
                <w:tab w:val="left" w:pos="1736"/>
              </w:tabs>
            </w:pPr>
            <w:r w:rsidRPr="000038EF">
              <w:rPr>
                <w:rFonts w:cstheme="minorHAnsi"/>
              </w:rPr>
              <w:t>Die Wirkung der Aussetzung bleibt jedenfalls aufrecht.</w:t>
            </w:r>
          </w:p>
        </w:tc>
      </w:tr>
    </w:tbl>
    <w:p w:rsidR="00A7412E" w:rsidRDefault="00A7412E"/>
    <w:sectPr w:rsidR="00A7412E" w:rsidSect="00402A69">
      <w:footerReference w:type="default" r:id="rId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858" w:rsidRDefault="00820858" w:rsidP="00820858">
      <w:pPr>
        <w:spacing w:after="0" w:line="240" w:lineRule="auto"/>
      </w:pPr>
      <w:r>
        <w:separator/>
      </w:r>
    </w:p>
  </w:endnote>
  <w:endnote w:type="continuationSeparator" w:id="0">
    <w:p w:rsidR="00820858" w:rsidRDefault="00820858" w:rsidP="0082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858" w:rsidRPr="00820858" w:rsidRDefault="00820858">
    <w:pPr>
      <w:pStyle w:val="Fuzeile"/>
      <w:rPr>
        <w:sz w:val="20"/>
        <w:szCs w:val="20"/>
      </w:rPr>
    </w:pPr>
    <w:r w:rsidRPr="00820858">
      <w:rPr>
        <w:sz w:val="20"/>
        <w:szCs w:val="20"/>
      </w:rPr>
      <w:t>Arbeitsmarktservice Österreich – Abteilung SFA</w:t>
    </w:r>
  </w:p>
  <w:p w:rsidR="00820858" w:rsidRPr="00820858" w:rsidRDefault="00820858">
    <w:pPr>
      <w:pStyle w:val="Fuzeile"/>
      <w:rPr>
        <w:sz w:val="20"/>
        <w:szCs w:val="20"/>
      </w:rPr>
    </w:pPr>
    <w:r w:rsidRPr="00820858">
      <w:rPr>
        <w:sz w:val="20"/>
        <w:szCs w:val="20"/>
      </w:rPr>
      <w:t>Stand: 23.1.2015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858" w:rsidRDefault="00820858" w:rsidP="00820858">
      <w:pPr>
        <w:spacing w:after="0" w:line="240" w:lineRule="auto"/>
      </w:pPr>
      <w:r>
        <w:separator/>
      </w:r>
    </w:p>
  </w:footnote>
  <w:footnote w:type="continuationSeparator" w:id="0">
    <w:p w:rsidR="00820858" w:rsidRDefault="00820858" w:rsidP="008208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80ED9"/>
    <w:multiLevelType w:val="hybridMultilevel"/>
    <w:tmpl w:val="B5D2CAD8"/>
    <w:lvl w:ilvl="0" w:tplc="C6E6FF78">
      <w:start w:val="1"/>
      <w:numFmt w:val="upp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nsid w:val="7417609A"/>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81"/>
    <w:rsid w:val="000038EF"/>
    <w:rsid w:val="001B4C8A"/>
    <w:rsid w:val="001F559F"/>
    <w:rsid w:val="00306D2A"/>
    <w:rsid w:val="00402A69"/>
    <w:rsid w:val="00431DFE"/>
    <w:rsid w:val="005325A6"/>
    <w:rsid w:val="005769D5"/>
    <w:rsid w:val="005B1D2A"/>
    <w:rsid w:val="00614D81"/>
    <w:rsid w:val="007431AC"/>
    <w:rsid w:val="00820858"/>
    <w:rsid w:val="00881347"/>
    <w:rsid w:val="00921472"/>
    <w:rsid w:val="009B75AA"/>
    <w:rsid w:val="00A40A1D"/>
    <w:rsid w:val="00A7412E"/>
    <w:rsid w:val="00B3310E"/>
    <w:rsid w:val="00E271E7"/>
    <w:rsid w:val="00E945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402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945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4547"/>
    <w:rPr>
      <w:rFonts w:ascii="Tahoma" w:hAnsi="Tahoma" w:cs="Tahoma"/>
      <w:sz w:val="16"/>
      <w:szCs w:val="16"/>
    </w:rPr>
  </w:style>
  <w:style w:type="character" w:styleId="Zeilennummer">
    <w:name w:val="line number"/>
    <w:basedOn w:val="Absatz-Standardschriftart"/>
    <w:uiPriority w:val="99"/>
    <w:semiHidden/>
    <w:unhideWhenUsed/>
    <w:rsid w:val="005B1D2A"/>
  </w:style>
  <w:style w:type="paragraph" w:styleId="Kopfzeile">
    <w:name w:val="header"/>
    <w:basedOn w:val="Standard"/>
    <w:link w:val="KopfzeileZchn"/>
    <w:uiPriority w:val="99"/>
    <w:unhideWhenUsed/>
    <w:rsid w:val="008208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0858"/>
  </w:style>
  <w:style w:type="paragraph" w:styleId="Fuzeile">
    <w:name w:val="footer"/>
    <w:basedOn w:val="Standard"/>
    <w:link w:val="FuzeileZchn"/>
    <w:uiPriority w:val="99"/>
    <w:unhideWhenUsed/>
    <w:rsid w:val="008208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0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402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945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4547"/>
    <w:rPr>
      <w:rFonts w:ascii="Tahoma" w:hAnsi="Tahoma" w:cs="Tahoma"/>
      <w:sz w:val="16"/>
      <w:szCs w:val="16"/>
    </w:rPr>
  </w:style>
  <w:style w:type="character" w:styleId="Zeilennummer">
    <w:name w:val="line number"/>
    <w:basedOn w:val="Absatz-Standardschriftart"/>
    <w:uiPriority w:val="99"/>
    <w:semiHidden/>
    <w:unhideWhenUsed/>
    <w:rsid w:val="005B1D2A"/>
  </w:style>
  <w:style w:type="paragraph" w:styleId="Kopfzeile">
    <w:name w:val="header"/>
    <w:basedOn w:val="Standard"/>
    <w:link w:val="KopfzeileZchn"/>
    <w:uiPriority w:val="99"/>
    <w:unhideWhenUsed/>
    <w:rsid w:val="008208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0858"/>
  </w:style>
  <w:style w:type="paragraph" w:styleId="Fuzeile">
    <w:name w:val="footer"/>
    <w:basedOn w:val="Standard"/>
    <w:link w:val="FuzeileZchn"/>
    <w:uiPriority w:val="99"/>
    <w:unhideWhenUsed/>
    <w:rsid w:val="008208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5652">
      <w:bodyDiv w:val="1"/>
      <w:marLeft w:val="0"/>
      <w:marRight w:val="0"/>
      <w:marTop w:val="0"/>
      <w:marBottom w:val="0"/>
      <w:divBdr>
        <w:top w:val="none" w:sz="0" w:space="0" w:color="auto"/>
        <w:left w:val="none" w:sz="0" w:space="0" w:color="auto"/>
        <w:bottom w:val="none" w:sz="0" w:space="0" w:color="auto"/>
        <w:right w:val="none" w:sz="0" w:space="0" w:color="auto"/>
      </w:divBdr>
    </w:div>
    <w:div w:id="562369840">
      <w:bodyDiv w:val="1"/>
      <w:marLeft w:val="0"/>
      <w:marRight w:val="0"/>
      <w:marTop w:val="0"/>
      <w:marBottom w:val="0"/>
      <w:divBdr>
        <w:top w:val="none" w:sz="0" w:space="0" w:color="auto"/>
        <w:left w:val="none" w:sz="0" w:space="0" w:color="auto"/>
        <w:bottom w:val="none" w:sz="0" w:space="0" w:color="auto"/>
        <w:right w:val="none" w:sz="0" w:space="0" w:color="auto"/>
      </w:divBdr>
    </w:div>
    <w:div w:id="925967052">
      <w:bodyDiv w:val="1"/>
      <w:marLeft w:val="0"/>
      <w:marRight w:val="0"/>
      <w:marTop w:val="0"/>
      <w:marBottom w:val="0"/>
      <w:divBdr>
        <w:top w:val="none" w:sz="0" w:space="0" w:color="auto"/>
        <w:left w:val="none" w:sz="0" w:space="0" w:color="auto"/>
        <w:bottom w:val="none" w:sz="0" w:space="0" w:color="auto"/>
        <w:right w:val="none" w:sz="0" w:space="0" w:color="auto"/>
      </w:divBdr>
    </w:div>
    <w:div w:id="19394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D029-31E1-4B65-A791-9406E136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3343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Arbeitsmarktservice Österreich</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Urschler</dc:creator>
  <cp:keywords/>
  <dc:description/>
  <cp:lastModifiedBy>Karin Ostermann</cp:lastModifiedBy>
  <cp:revision>15</cp:revision>
  <cp:lastPrinted>2015-01-22T16:17:00Z</cp:lastPrinted>
  <dcterms:created xsi:type="dcterms:W3CDTF">2015-01-22T10:17:00Z</dcterms:created>
  <dcterms:modified xsi:type="dcterms:W3CDTF">2015-01-23T14:22:00Z</dcterms:modified>
</cp:coreProperties>
</file>